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E5E" w:rsidRPr="005B07E4" w:rsidRDefault="006C7E5E" w:rsidP="006C7E5E">
      <w:pPr>
        <w:widowControl/>
        <w:autoSpaceDE/>
        <w:autoSpaceDN/>
        <w:spacing w:after="160" w:line="360" w:lineRule="auto"/>
        <w:jc w:val="center"/>
        <w:rPr>
          <w:rFonts w:ascii="Book Antiqua" w:eastAsiaTheme="minorHAnsi" w:hAnsi="Book Antiqua" w:cs="Times New Roman"/>
          <w:b/>
          <w:bCs/>
          <w:sz w:val="24"/>
          <w:szCs w:val="24"/>
          <w:u w:val="single"/>
          <w:lang w:val="pt-BR"/>
        </w:rPr>
      </w:pPr>
      <w:r w:rsidRPr="005B07E4">
        <w:rPr>
          <w:rFonts w:ascii="Book Antiqua" w:eastAsiaTheme="minorHAnsi" w:hAnsi="Book Antiqua" w:cs="Times New Roman"/>
          <w:b/>
          <w:bCs/>
          <w:sz w:val="24"/>
          <w:szCs w:val="24"/>
          <w:u w:val="single"/>
          <w:lang w:val="pt-BR"/>
        </w:rPr>
        <w:t>PROPOSTA DE PREÇO</w:t>
      </w:r>
    </w:p>
    <w:p w:rsidR="006C7E5E" w:rsidRPr="005B07E4" w:rsidRDefault="006C7E5E" w:rsidP="005B07E4">
      <w:pPr>
        <w:pStyle w:val="SemEspaamento"/>
        <w:rPr>
          <w:rFonts w:ascii="Book Antiqua" w:hAnsi="Book Antiqua"/>
          <w:sz w:val="24"/>
          <w:szCs w:val="24"/>
          <w:lang w:val="pt-BR"/>
        </w:rPr>
      </w:pPr>
      <w:r w:rsidRPr="005B07E4">
        <w:rPr>
          <w:rFonts w:ascii="Book Antiqua" w:hAnsi="Book Antiqua"/>
          <w:sz w:val="24"/>
          <w:szCs w:val="24"/>
          <w:lang w:val="pt-BR"/>
        </w:rPr>
        <w:t>RAZÃO SOCIAL:</w:t>
      </w:r>
    </w:p>
    <w:p w:rsidR="006C7E5E" w:rsidRPr="005B07E4" w:rsidRDefault="006C7E5E" w:rsidP="005B07E4">
      <w:pPr>
        <w:pStyle w:val="SemEspaamento"/>
        <w:rPr>
          <w:rFonts w:ascii="Book Antiqua" w:hAnsi="Book Antiqua"/>
          <w:sz w:val="24"/>
          <w:szCs w:val="24"/>
          <w:lang w:val="pt-BR"/>
        </w:rPr>
      </w:pPr>
      <w:r w:rsidRPr="005B07E4">
        <w:rPr>
          <w:rFonts w:ascii="Book Antiqua" w:hAnsi="Book Antiqua"/>
          <w:sz w:val="24"/>
          <w:szCs w:val="24"/>
          <w:lang w:val="pt-BR"/>
        </w:rPr>
        <w:t>CNPJ Nº:</w:t>
      </w:r>
    </w:p>
    <w:p w:rsidR="006C7E5E" w:rsidRPr="005B07E4" w:rsidRDefault="006C7E5E" w:rsidP="005B07E4">
      <w:pPr>
        <w:pStyle w:val="SemEspaamento"/>
        <w:rPr>
          <w:rFonts w:ascii="Book Antiqua" w:hAnsi="Book Antiqua"/>
          <w:sz w:val="24"/>
          <w:szCs w:val="24"/>
          <w:lang w:val="pt-BR"/>
        </w:rPr>
      </w:pPr>
      <w:r w:rsidRPr="005B07E4">
        <w:rPr>
          <w:rFonts w:ascii="Book Antiqua" w:hAnsi="Book Antiqua"/>
          <w:sz w:val="24"/>
          <w:szCs w:val="24"/>
          <w:lang w:val="pt-BR"/>
        </w:rPr>
        <w:t>ENDEREÇO:</w:t>
      </w:r>
    </w:p>
    <w:p w:rsidR="006C7E5E" w:rsidRPr="005B07E4" w:rsidRDefault="006C7E5E" w:rsidP="005B07E4">
      <w:pPr>
        <w:pStyle w:val="SemEspaamento"/>
        <w:rPr>
          <w:rFonts w:ascii="Book Antiqua" w:hAnsi="Book Antiqua"/>
          <w:sz w:val="24"/>
          <w:szCs w:val="24"/>
          <w:lang w:val="pt-BR"/>
        </w:rPr>
      </w:pPr>
      <w:r w:rsidRPr="005B07E4">
        <w:rPr>
          <w:rFonts w:ascii="Book Antiqua" w:hAnsi="Book Antiqua"/>
          <w:sz w:val="24"/>
          <w:szCs w:val="24"/>
          <w:lang w:val="pt-BR"/>
        </w:rPr>
        <w:t>BAIRRO:</w:t>
      </w:r>
    </w:p>
    <w:p w:rsidR="006C7E5E" w:rsidRPr="005B07E4" w:rsidRDefault="006C7E5E" w:rsidP="005B07E4">
      <w:pPr>
        <w:pStyle w:val="SemEspaamento"/>
        <w:rPr>
          <w:rFonts w:ascii="Book Antiqua" w:hAnsi="Book Antiqua"/>
          <w:sz w:val="24"/>
          <w:szCs w:val="24"/>
          <w:lang w:val="pt-BR"/>
        </w:rPr>
      </w:pPr>
      <w:r w:rsidRPr="005B07E4">
        <w:rPr>
          <w:rFonts w:ascii="Book Antiqua" w:hAnsi="Book Antiqua"/>
          <w:sz w:val="24"/>
          <w:szCs w:val="24"/>
          <w:lang w:val="pt-BR"/>
        </w:rPr>
        <w:t>CIDADE/ESTADO:</w:t>
      </w:r>
    </w:p>
    <w:p w:rsidR="005B07E4" w:rsidRDefault="006C7E5E" w:rsidP="005B07E4">
      <w:pPr>
        <w:pStyle w:val="SemEspaamento"/>
        <w:rPr>
          <w:rFonts w:ascii="Book Antiqua" w:hAnsi="Book Antiqua"/>
          <w:sz w:val="24"/>
          <w:szCs w:val="24"/>
          <w:lang w:val="pt-BR"/>
        </w:rPr>
      </w:pPr>
      <w:r w:rsidRPr="005B07E4">
        <w:rPr>
          <w:rFonts w:ascii="Book Antiqua" w:hAnsi="Book Antiqua"/>
          <w:sz w:val="24"/>
          <w:szCs w:val="24"/>
          <w:lang w:val="pt-BR"/>
        </w:rPr>
        <w:t xml:space="preserve">E-MAIL: </w:t>
      </w:r>
    </w:p>
    <w:p w:rsidR="005B07E4" w:rsidRPr="005B07E4" w:rsidRDefault="005B07E4" w:rsidP="005B07E4">
      <w:pPr>
        <w:pStyle w:val="SemEspaamento"/>
        <w:rPr>
          <w:rFonts w:ascii="Book Antiqua" w:hAnsi="Book Antiqua"/>
          <w:sz w:val="24"/>
          <w:szCs w:val="24"/>
          <w:lang w:val="pt-BR"/>
        </w:rPr>
      </w:pPr>
    </w:p>
    <w:tbl>
      <w:tblPr>
        <w:tblStyle w:val="Tabelacomgrade"/>
        <w:tblW w:w="6175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856"/>
        <w:gridCol w:w="845"/>
        <w:gridCol w:w="1278"/>
        <w:gridCol w:w="3403"/>
        <w:gridCol w:w="1699"/>
        <w:gridCol w:w="1133"/>
        <w:gridCol w:w="1276"/>
      </w:tblGrid>
      <w:tr w:rsidR="006C7E5E" w:rsidRPr="005B07E4" w:rsidTr="006C7E5E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E5E" w:rsidRPr="005B07E4" w:rsidRDefault="006C7E5E" w:rsidP="00084EF5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ITEM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QTDE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UND.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7E5E" w:rsidRPr="005B07E4" w:rsidRDefault="006C7E5E" w:rsidP="00084EF5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ESPECIFICAÇÃO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MARCA REFERÊNCIA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VALOR UNIT.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VALOR TOTAL</w:t>
            </w:r>
          </w:p>
        </w:tc>
      </w:tr>
      <w:tr w:rsidR="006C7E5E" w:rsidRPr="005B07E4" w:rsidTr="006C7E5E">
        <w:trPr>
          <w:trHeight w:val="557"/>
        </w:trPr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iCs/>
                <w:sz w:val="20"/>
                <w:szCs w:val="20"/>
              </w:rPr>
              <w:t>Geladeira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C7E5E" w:rsidRPr="005B07E4" w:rsidRDefault="006C7E5E" w:rsidP="006C7E5E">
            <w:pPr>
              <w:widowControl/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 xml:space="preserve">Geladeira (duas portas), com tecnologia </w:t>
            </w:r>
            <w:proofErr w:type="spellStart"/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>frost</w:t>
            </w:r>
            <w:proofErr w:type="spellEnd"/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 xml:space="preserve"> </w:t>
            </w:r>
            <w:proofErr w:type="spellStart"/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>free</w:t>
            </w:r>
            <w:proofErr w:type="spellEnd"/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>, com as seguintes características mínimas: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Capacidade total </w:t>
            </w:r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>entre 430 e 550 litros</w:t>
            </w: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Sistema de degelo </w:t>
            </w:r>
            <w:proofErr w:type="spellStart"/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>frost</w:t>
            </w:r>
            <w:proofErr w:type="spellEnd"/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 xml:space="preserve"> </w:t>
            </w:r>
            <w:proofErr w:type="spellStart"/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>free</w:t>
            </w:r>
            <w:proofErr w:type="spellEnd"/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 xml:space="preserve"> (sem necessidade de descongelamento manual)</w:t>
            </w: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Configuração </w:t>
            </w:r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>duas portas (refrigerador e freezer separados)</w:t>
            </w: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Classificação de eficiência energética </w:t>
            </w:r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>mínima “A”</w:t>
            </w: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Prateleiras internas removíveis e/ou ajustáveis;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Iluminação interna em LED;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Controle de temperatura;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proofErr w:type="spellStart"/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>Porta-ovos</w:t>
            </w:r>
            <w:proofErr w:type="spellEnd"/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 e compartimentos internos para organização;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Alimentação elétrica compatível com a rede (127V);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Garantia mínima de </w:t>
            </w:r>
            <w:r w:rsidRPr="005B07E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pt-BR" w:eastAsia="pt-BR"/>
              </w:rPr>
              <w:t>12 meses</w:t>
            </w: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; </w:t>
            </w:r>
          </w:p>
          <w:p w:rsidR="006C7E5E" w:rsidRPr="005B07E4" w:rsidRDefault="006C7E5E" w:rsidP="006C7E5E">
            <w:pPr>
              <w:widowControl/>
              <w:numPr>
                <w:ilvl w:val="0"/>
                <w:numId w:val="1"/>
              </w:numPr>
              <w:autoSpaceDE/>
              <w:autoSpaceDN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</w:pPr>
            <w:r w:rsidRPr="005B07E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t-BR" w:eastAsia="pt-BR"/>
              </w:rPr>
              <w:t xml:space="preserve">Produto novo, sem uso, devidamente acondicionado e com manual do fabricante. </w:t>
            </w:r>
          </w:p>
          <w:p w:rsidR="006C7E5E" w:rsidRPr="005B07E4" w:rsidRDefault="006C7E5E" w:rsidP="00084EF5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6C7E5E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5B07E4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6C7E5E" w:rsidRPr="005B07E4" w:rsidRDefault="006C7E5E" w:rsidP="006C7E5E">
            <w:pPr>
              <w:spacing w:after="160" w:line="259" w:lineRule="auto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5B07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Eletrolux</w:t>
            </w:r>
          </w:p>
          <w:p w:rsidR="006C7E5E" w:rsidRPr="005B07E4" w:rsidRDefault="006C7E5E" w:rsidP="006C7E5E">
            <w:pPr>
              <w:spacing w:after="160" w:line="259" w:lineRule="auto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5B07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Panasonic</w:t>
            </w:r>
          </w:p>
          <w:p w:rsidR="006C7E5E" w:rsidRPr="005B07E4" w:rsidRDefault="006C7E5E" w:rsidP="006C7E5E">
            <w:pPr>
              <w:spacing w:after="160" w:line="259" w:lineRule="auto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5B07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Brastemp</w:t>
            </w:r>
          </w:p>
          <w:p w:rsidR="006C7E5E" w:rsidRPr="005B07E4" w:rsidRDefault="006C7E5E" w:rsidP="006C7E5E">
            <w:pPr>
              <w:rPr>
                <w:rFonts w:ascii="Times New Roman" w:hAnsi="Times New Roman"/>
                <w:iCs/>
                <w:sz w:val="20"/>
                <w:szCs w:val="20"/>
              </w:rPr>
            </w:pPr>
            <w:r w:rsidRPr="005B07E4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Philco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E5E" w:rsidRPr="005B07E4" w:rsidRDefault="006C7E5E" w:rsidP="00084EF5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:rsidR="006C7E5E" w:rsidRPr="005B07E4" w:rsidRDefault="006C7E5E" w:rsidP="005B07E4">
      <w:pPr>
        <w:spacing w:line="360" w:lineRule="auto"/>
        <w:jc w:val="both"/>
        <w:rPr>
          <w:rFonts w:ascii="Book Antiqua" w:eastAsiaTheme="minorHAnsi" w:hAnsi="Book Antiqua" w:cs="Times New Roman"/>
          <w:b/>
          <w:bCs/>
          <w:sz w:val="24"/>
          <w:szCs w:val="24"/>
          <w:lang w:val="pt-BR"/>
        </w:rPr>
      </w:pPr>
      <w:r w:rsidRPr="005B07E4">
        <w:rPr>
          <w:rFonts w:ascii="Book Antiqua" w:eastAsiaTheme="minorHAnsi" w:hAnsi="Book Antiqua" w:cs="Times New Roman"/>
          <w:b/>
          <w:bCs/>
          <w:sz w:val="24"/>
          <w:szCs w:val="24"/>
          <w:lang w:val="pt-BR"/>
        </w:rPr>
        <w:t xml:space="preserve"> </w:t>
      </w:r>
    </w:p>
    <w:p w:rsidR="006C7E5E" w:rsidRPr="005B07E4" w:rsidRDefault="006C7E5E" w:rsidP="006C7E5E">
      <w:pPr>
        <w:widowControl/>
        <w:autoSpaceDE/>
        <w:autoSpaceDN/>
        <w:spacing w:after="160" w:line="360" w:lineRule="auto"/>
        <w:rPr>
          <w:rFonts w:ascii="Book Antiqua" w:eastAsiaTheme="minorHAnsi" w:hAnsi="Book Antiqua" w:cs="Times New Roman"/>
          <w:sz w:val="24"/>
          <w:szCs w:val="24"/>
          <w:lang w:val="pt-BR"/>
        </w:rPr>
      </w:pPr>
      <w:r w:rsidRPr="005B07E4">
        <w:rPr>
          <w:rFonts w:ascii="Book Antiqua" w:eastAsiaTheme="minorHAnsi" w:hAnsi="Book Antiqua" w:cs="Times New Roman"/>
          <w:sz w:val="24"/>
          <w:szCs w:val="24"/>
          <w:lang w:val="pt-BR"/>
        </w:rPr>
        <w:t>Declaramos que estamos de acordo com todas as condições inseridas no Termo de Referência e seus anexos.</w:t>
      </w:r>
    </w:p>
    <w:p w:rsidR="006C7E5E" w:rsidRPr="005B07E4" w:rsidRDefault="006C7E5E" w:rsidP="006C7E5E">
      <w:pPr>
        <w:widowControl/>
        <w:autoSpaceDE/>
        <w:autoSpaceDN/>
        <w:spacing w:after="160" w:line="360" w:lineRule="auto"/>
        <w:rPr>
          <w:rFonts w:ascii="Book Antiqua" w:eastAsiaTheme="minorHAnsi" w:hAnsi="Book Antiqua" w:cs="Times New Roman"/>
          <w:sz w:val="24"/>
          <w:szCs w:val="24"/>
          <w:lang w:val="pt-BR"/>
        </w:rPr>
      </w:pPr>
      <w:r w:rsidRPr="005B07E4">
        <w:rPr>
          <w:rFonts w:ascii="Book Antiqua" w:eastAsiaTheme="minorHAnsi" w:hAnsi="Book Antiqua" w:cs="Times New Roman"/>
          <w:sz w:val="24"/>
          <w:szCs w:val="24"/>
          <w:lang w:val="pt-BR"/>
        </w:rPr>
        <w:t>Taquaral-SP, _____de _________________de 2025.</w:t>
      </w:r>
    </w:p>
    <w:p w:rsidR="006C7E5E" w:rsidRPr="005B07E4" w:rsidRDefault="006C7E5E" w:rsidP="006C7E5E">
      <w:pPr>
        <w:widowControl/>
        <w:autoSpaceDE/>
        <w:autoSpaceDN/>
        <w:spacing w:after="160" w:line="360" w:lineRule="auto"/>
        <w:rPr>
          <w:rFonts w:ascii="Book Antiqua" w:eastAsiaTheme="minorHAnsi" w:hAnsi="Book Antiqua" w:cstheme="minorBidi"/>
          <w:b/>
          <w:bCs/>
          <w:sz w:val="24"/>
          <w:szCs w:val="24"/>
          <w:lang w:val="pt-BR"/>
        </w:rPr>
      </w:pPr>
      <w:r w:rsidRPr="005B07E4">
        <w:rPr>
          <w:rFonts w:ascii="Book Antiqua" w:eastAsiaTheme="minorHAnsi" w:hAnsi="Book Antiqua" w:cstheme="minorBidi"/>
          <w:b/>
          <w:bCs/>
          <w:sz w:val="24"/>
          <w:szCs w:val="24"/>
          <w:lang w:val="pt-BR"/>
        </w:rPr>
        <w:t>_________________________________</w:t>
      </w:r>
    </w:p>
    <w:p w:rsidR="006C7E5E" w:rsidRPr="005B07E4" w:rsidRDefault="006C7E5E" w:rsidP="005B07E4">
      <w:pPr>
        <w:pStyle w:val="SemEspaamento"/>
        <w:rPr>
          <w:rFonts w:ascii="Book Antiqua" w:hAnsi="Book Antiqua"/>
          <w:sz w:val="24"/>
          <w:szCs w:val="24"/>
          <w:lang w:val="pt-BR"/>
        </w:rPr>
      </w:pPr>
      <w:r w:rsidRPr="005B07E4">
        <w:rPr>
          <w:rFonts w:ascii="Book Antiqua" w:hAnsi="Book Antiqua"/>
          <w:sz w:val="24"/>
          <w:szCs w:val="24"/>
          <w:lang w:val="pt-BR"/>
        </w:rPr>
        <w:t>Nome do responsável</w:t>
      </w:r>
    </w:p>
    <w:p w:rsidR="006C7E5E" w:rsidRPr="005B07E4" w:rsidRDefault="006C7E5E" w:rsidP="005B07E4">
      <w:pPr>
        <w:pStyle w:val="SemEspaamento"/>
        <w:rPr>
          <w:rFonts w:ascii="Book Antiqua" w:hAnsi="Book Antiqua"/>
          <w:sz w:val="24"/>
          <w:szCs w:val="24"/>
          <w:lang w:val="pt-BR"/>
        </w:rPr>
      </w:pPr>
      <w:r w:rsidRPr="005B07E4">
        <w:rPr>
          <w:rFonts w:ascii="Book Antiqua" w:hAnsi="Book Antiqua"/>
          <w:sz w:val="24"/>
          <w:szCs w:val="24"/>
          <w:lang w:val="pt-BR"/>
        </w:rPr>
        <w:t xml:space="preserve">CPF </w:t>
      </w:r>
    </w:p>
    <w:p w:rsidR="006C7E5E" w:rsidRPr="005B07E4" w:rsidRDefault="006C7E5E" w:rsidP="005B07E4">
      <w:pPr>
        <w:pStyle w:val="SemEspaamento"/>
        <w:rPr>
          <w:rFonts w:cs="Arial"/>
        </w:rPr>
      </w:pPr>
      <w:r w:rsidRPr="005B07E4">
        <w:rPr>
          <w:rFonts w:ascii="Book Antiqua" w:hAnsi="Book Antiqua"/>
          <w:sz w:val="24"/>
          <w:szCs w:val="24"/>
          <w:lang w:val="pt-BR"/>
        </w:rPr>
        <w:t>RG.</w:t>
      </w:r>
      <w:r w:rsidRPr="005B07E4">
        <w:rPr>
          <w:rFonts w:cs="Arial"/>
        </w:rPr>
        <w:t xml:space="preserve"> </w:t>
      </w:r>
    </w:p>
    <w:p w:rsidR="009E61C4" w:rsidRDefault="009E61C4">
      <w:bookmarkStart w:id="0" w:name="_GoBack"/>
      <w:bookmarkEnd w:id="0"/>
    </w:p>
    <w:sectPr w:rsidR="009E61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366A96"/>
    <w:multiLevelType w:val="multilevel"/>
    <w:tmpl w:val="B5F0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E5E"/>
    <w:rsid w:val="005B07E4"/>
    <w:rsid w:val="006C7E5E"/>
    <w:rsid w:val="0074281D"/>
    <w:rsid w:val="009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6BE04"/>
  <w15:chartTrackingRefBased/>
  <w15:docId w15:val="{DAFE75D4-2474-47C8-9D38-D8CDCF1E4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GARAMOND"/>
    <w:qFormat/>
    <w:rsid w:val="006C7E5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C7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5B07E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2026-04-27T17:52:00Z</dcterms:created>
  <dcterms:modified xsi:type="dcterms:W3CDTF">2026-04-27T18:33:00Z</dcterms:modified>
</cp:coreProperties>
</file>